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A3" w:rsidRPr="00A96CD1" w:rsidRDefault="000638A3" w:rsidP="000638A3">
      <w:pPr>
        <w:jc w:val="center"/>
        <w:rPr>
          <w:b/>
          <w:sz w:val="24"/>
        </w:rPr>
      </w:pPr>
      <w:r w:rsidRPr="00A96CD1">
        <w:rPr>
          <w:rFonts w:hint="eastAsia"/>
          <w:b/>
          <w:sz w:val="24"/>
        </w:rPr>
        <w:t>《南开法律评论》第</w:t>
      </w:r>
      <w:r w:rsidR="008E5642">
        <w:rPr>
          <w:rFonts w:hint="eastAsia"/>
          <w:b/>
          <w:sz w:val="24"/>
          <w:lang w:eastAsia="zh-CN"/>
        </w:rPr>
        <w:t>十</w:t>
      </w:r>
      <w:r w:rsidRPr="00A96CD1">
        <w:rPr>
          <w:rFonts w:hint="eastAsia"/>
          <w:b/>
          <w:sz w:val="24"/>
        </w:rPr>
        <w:t>期目录</w:t>
      </w:r>
    </w:p>
    <w:p w:rsidR="000638A3" w:rsidRDefault="000638A3" w:rsidP="000638A3">
      <w:pPr>
        <w:jc w:val="center"/>
        <w:rPr>
          <w:rFonts w:ascii="楷体" w:eastAsia="楷体" w:hAnsi="楷体"/>
          <w:sz w:val="24"/>
          <w:lang w:eastAsia="zh-CN"/>
        </w:rPr>
      </w:pPr>
      <w:r w:rsidRPr="00A96CD1">
        <w:rPr>
          <w:rFonts w:ascii="楷体" w:eastAsia="楷体" w:hAnsi="楷体" w:hint="eastAsia"/>
          <w:sz w:val="24"/>
        </w:rPr>
        <w:t>（南开大学出版社201</w:t>
      </w:r>
      <w:r w:rsidR="008E5642">
        <w:rPr>
          <w:rFonts w:ascii="楷体" w:eastAsia="楷体" w:hAnsi="楷体" w:hint="eastAsia"/>
          <w:sz w:val="24"/>
          <w:lang w:eastAsia="zh-CN"/>
        </w:rPr>
        <w:t>5</w:t>
      </w:r>
      <w:r w:rsidRPr="00A96CD1">
        <w:rPr>
          <w:rFonts w:ascii="楷体" w:eastAsia="楷体" w:hAnsi="楷体" w:hint="eastAsia"/>
          <w:sz w:val="24"/>
        </w:rPr>
        <w:t>年出版）</w:t>
      </w:r>
    </w:p>
    <w:p w:rsidR="00A0271F" w:rsidRPr="00A96CD1" w:rsidRDefault="00A0271F" w:rsidP="000638A3">
      <w:pPr>
        <w:jc w:val="center"/>
        <w:rPr>
          <w:rFonts w:ascii="楷体" w:eastAsia="楷体" w:hAnsi="楷体"/>
          <w:sz w:val="24"/>
          <w:lang w:eastAsia="zh-CN"/>
        </w:rPr>
      </w:pPr>
    </w:p>
    <w:p w:rsidR="00047BB0" w:rsidRDefault="00047BB0" w:rsidP="00047BB0">
      <w:pPr>
        <w:rPr>
          <w:b/>
          <w:sz w:val="24"/>
          <w:lang w:eastAsia="zh-CN"/>
        </w:rPr>
      </w:pPr>
      <w:r w:rsidRPr="00A96CD1">
        <w:rPr>
          <w:rFonts w:hint="eastAsia"/>
          <w:b/>
          <w:sz w:val="24"/>
          <w:lang w:eastAsia="zh-CN"/>
        </w:rPr>
        <w:t>目录</w:t>
      </w:r>
      <w:bookmarkStart w:id="0" w:name="_GoBack"/>
      <w:bookmarkEnd w:id="0"/>
    </w:p>
    <w:p w:rsidR="00A0271F" w:rsidRPr="00A96CD1" w:rsidRDefault="00A0271F" w:rsidP="00047BB0">
      <w:pPr>
        <w:rPr>
          <w:b/>
          <w:sz w:val="24"/>
          <w:lang w:eastAsia="zh-CN"/>
        </w:rPr>
      </w:pP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社科法学的内涵与贡献</w:t>
      </w:r>
      <w:r w:rsidRPr="00B1011A">
        <w:rPr>
          <w:rFonts w:hint="eastAsia"/>
          <w:sz w:val="24"/>
          <w:lang w:eastAsia="zh-CN"/>
        </w:rPr>
        <w:t xml:space="preserve"> / </w:t>
      </w:r>
      <w:r w:rsidRPr="00B1011A">
        <w:rPr>
          <w:rFonts w:ascii="楷体" w:eastAsia="楷体" w:hAnsi="楷体" w:hint="eastAsia"/>
          <w:sz w:val="24"/>
          <w:lang w:eastAsia="zh-CN"/>
        </w:rPr>
        <w:t>侯猛</w:t>
      </w:r>
    </w:p>
    <w:p w:rsidR="001D7AC3" w:rsidRDefault="001D7AC3" w:rsidP="00B1011A">
      <w:pPr>
        <w:rPr>
          <w:rFonts w:hint="eastAsia"/>
          <w:sz w:val="24"/>
          <w:lang w:eastAsia="zh-CN"/>
        </w:rPr>
      </w:pP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社科法学的成长与发展</w:t>
      </w:r>
      <w:r w:rsidRPr="00B1011A">
        <w:rPr>
          <w:rFonts w:hint="eastAsia"/>
          <w:sz w:val="24"/>
          <w:lang w:eastAsia="zh-CN"/>
        </w:rPr>
        <w:t xml:space="preserve"> / </w:t>
      </w:r>
      <w:r w:rsidRPr="00B1011A">
        <w:rPr>
          <w:rFonts w:ascii="楷体" w:eastAsia="楷体" w:hAnsi="楷体" w:hint="eastAsia"/>
          <w:sz w:val="24"/>
          <w:lang w:eastAsia="zh-CN"/>
        </w:rPr>
        <w:t>尤陈俊</w:t>
      </w:r>
    </w:p>
    <w:p w:rsidR="001D7AC3" w:rsidRDefault="001D7AC3" w:rsidP="00B1011A">
      <w:pPr>
        <w:rPr>
          <w:rFonts w:hint="eastAsia"/>
          <w:sz w:val="24"/>
          <w:lang w:eastAsia="zh-CN"/>
        </w:rPr>
      </w:pP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比较法及其思想史探微</w:t>
      </w: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——解读大木雅夫《比较法》</w:t>
      </w:r>
      <w:r w:rsidRPr="00B1011A">
        <w:rPr>
          <w:rFonts w:hint="eastAsia"/>
          <w:sz w:val="24"/>
          <w:lang w:eastAsia="zh-CN"/>
        </w:rPr>
        <w:t xml:space="preserve">/ </w:t>
      </w:r>
      <w:r w:rsidRPr="00B1011A">
        <w:rPr>
          <w:rFonts w:ascii="楷体" w:eastAsia="楷体" w:hAnsi="楷体" w:hint="eastAsia"/>
          <w:sz w:val="24"/>
          <w:lang w:eastAsia="zh-CN"/>
        </w:rPr>
        <w:t>华雨</w:t>
      </w:r>
    </w:p>
    <w:p w:rsidR="001D7AC3" w:rsidRDefault="001D7AC3" w:rsidP="00B1011A">
      <w:pPr>
        <w:rPr>
          <w:rFonts w:hint="eastAsia"/>
          <w:sz w:val="24"/>
          <w:lang w:eastAsia="zh-CN"/>
        </w:rPr>
      </w:pP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表见代理构成要件和类型区分</w:t>
      </w:r>
      <w:r w:rsidRPr="00B1011A">
        <w:rPr>
          <w:rFonts w:hint="eastAsia"/>
          <w:sz w:val="24"/>
          <w:lang w:eastAsia="zh-CN"/>
        </w:rPr>
        <w:t xml:space="preserve"> /</w:t>
      </w:r>
      <w:r w:rsidRPr="00B1011A">
        <w:rPr>
          <w:rFonts w:ascii="楷体" w:eastAsia="楷体" w:hAnsi="楷体" w:hint="eastAsia"/>
          <w:sz w:val="24"/>
          <w:lang w:eastAsia="zh-CN"/>
        </w:rPr>
        <w:t>王晓晨</w:t>
      </w:r>
    </w:p>
    <w:p w:rsidR="001D7AC3" w:rsidRDefault="001D7AC3" w:rsidP="00B1011A">
      <w:pPr>
        <w:rPr>
          <w:rFonts w:hint="eastAsia"/>
          <w:sz w:val="24"/>
          <w:lang w:eastAsia="zh-CN"/>
        </w:rPr>
      </w:pP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建构国际法学“中国学派”：国际法理论研究的新路径</w:t>
      </w:r>
      <w:r w:rsidRPr="00B1011A">
        <w:rPr>
          <w:rFonts w:hint="eastAsia"/>
          <w:sz w:val="24"/>
          <w:lang w:eastAsia="zh-CN"/>
        </w:rPr>
        <w:t xml:space="preserve"> / </w:t>
      </w:r>
      <w:r w:rsidRPr="00B1011A">
        <w:rPr>
          <w:rFonts w:ascii="楷体" w:eastAsia="楷体" w:hAnsi="楷体" w:hint="eastAsia"/>
          <w:sz w:val="24"/>
          <w:lang w:eastAsia="zh-CN"/>
        </w:rPr>
        <w:t>汤岩</w:t>
      </w:r>
    </w:p>
    <w:p w:rsidR="001D7AC3" w:rsidRDefault="001D7AC3" w:rsidP="00B1011A">
      <w:pPr>
        <w:rPr>
          <w:rFonts w:hint="eastAsia"/>
          <w:sz w:val="24"/>
          <w:lang w:eastAsia="zh-CN"/>
        </w:rPr>
      </w:pP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清代刑部议驳案件制度的纠错功能探析</w:t>
      </w:r>
      <w:r w:rsidRPr="00B1011A">
        <w:rPr>
          <w:rFonts w:hint="eastAsia"/>
          <w:sz w:val="24"/>
          <w:lang w:eastAsia="zh-CN"/>
        </w:rPr>
        <w:t xml:space="preserve"> / </w:t>
      </w:r>
      <w:r w:rsidRPr="00B1011A">
        <w:rPr>
          <w:rFonts w:ascii="楷体" w:eastAsia="楷体" w:hAnsi="楷体" w:hint="eastAsia"/>
          <w:sz w:val="24"/>
          <w:lang w:eastAsia="zh-CN"/>
        </w:rPr>
        <w:t>袁松  闫文博</w:t>
      </w:r>
    </w:p>
    <w:p w:rsidR="001D7AC3" w:rsidRDefault="001D7AC3" w:rsidP="00B1011A">
      <w:pPr>
        <w:rPr>
          <w:rFonts w:hint="eastAsia"/>
          <w:sz w:val="24"/>
          <w:lang w:eastAsia="zh-CN"/>
        </w:rPr>
      </w:pP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弱者何以享有优待——接近正义的理论基础</w:t>
      </w:r>
      <w:r w:rsidRPr="00B1011A">
        <w:rPr>
          <w:rFonts w:hint="eastAsia"/>
          <w:sz w:val="24"/>
          <w:lang w:eastAsia="zh-CN"/>
        </w:rPr>
        <w:t xml:space="preserve"> / </w:t>
      </w:r>
      <w:r w:rsidRPr="00B1011A">
        <w:rPr>
          <w:rFonts w:ascii="楷体" w:eastAsia="楷体" w:hAnsi="楷体" w:hint="eastAsia"/>
          <w:sz w:val="24"/>
          <w:lang w:eastAsia="zh-CN"/>
        </w:rPr>
        <w:t>郭辉</w:t>
      </w:r>
    </w:p>
    <w:p w:rsidR="001D7AC3" w:rsidRDefault="001D7AC3" w:rsidP="00B1011A">
      <w:pPr>
        <w:rPr>
          <w:rFonts w:hint="eastAsia"/>
          <w:sz w:val="24"/>
          <w:lang w:eastAsia="zh-CN"/>
        </w:rPr>
      </w:pP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论交叉询问在刑事审判中的衍生空间</w:t>
      </w:r>
      <w:r w:rsidRPr="00B1011A">
        <w:rPr>
          <w:rFonts w:hint="eastAsia"/>
          <w:sz w:val="24"/>
          <w:lang w:eastAsia="zh-CN"/>
        </w:rPr>
        <w:t xml:space="preserve"> / </w:t>
      </w:r>
      <w:r w:rsidRPr="00B1011A">
        <w:rPr>
          <w:rFonts w:ascii="楷体" w:eastAsia="楷体" w:hAnsi="楷体" w:hint="eastAsia"/>
          <w:sz w:val="24"/>
          <w:lang w:eastAsia="zh-CN"/>
        </w:rPr>
        <w:t>李章仙</w:t>
      </w:r>
    </w:p>
    <w:p w:rsidR="001D7AC3" w:rsidRDefault="001D7AC3" w:rsidP="00B1011A">
      <w:pPr>
        <w:rPr>
          <w:rFonts w:hint="eastAsia"/>
          <w:sz w:val="24"/>
          <w:lang w:eastAsia="zh-CN"/>
        </w:rPr>
      </w:pPr>
    </w:p>
    <w:p w:rsidR="00B1011A" w:rsidRPr="00B1011A" w:rsidRDefault="00B1011A" w:rsidP="00B1011A">
      <w:pPr>
        <w:rPr>
          <w:rFonts w:ascii="楷体" w:eastAsia="楷体" w:hAnsi="楷体"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物权保护请求权在民法典中的体例选择问题研究</w:t>
      </w:r>
      <w:r w:rsidRPr="00B1011A">
        <w:rPr>
          <w:rFonts w:hint="eastAsia"/>
          <w:sz w:val="24"/>
          <w:lang w:eastAsia="zh-CN"/>
        </w:rPr>
        <w:t xml:space="preserve"> / </w:t>
      </w:r>
      <w:r w:rsidRPr="00B1011A">
        <w:rPr>
          <w:rFonts w:ascii="楷体" w:eastAsia="楷体" w:hAnsi="楷体" w:hint="eastAsia"/>
          <w:sz w:val="24"/>
          <w:lang w:eastAsia="zh-CN"/>
        </w:rPr>
        <w:t>包晓丽</w:t>
      </w:r>
    </w:p>
    <w:p w:rsidR="001D7AC3" w:rsidRDefault="001D7AC3" w:rsidP="00B1011A">
      <w:pPr>
        <w:rPr>
          <w:rFonts w:hint="eastAsia"/>
          <w:sz w:val="24"/>
          <w:lang w:eastAsia="zh-CN"/>
        </w:rPr>
      </w:pP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虚拟股的定性观察与规则探微</w:t>
      </w: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——兼论虚拟股股东保护的碎片化修正</w:t>
      </w:r>
      <w:r w:rsidRPr="00B1011A">
        <w:rPr>
          <w:rFonts w:hint="eastAsia"/>
          <w:sz w:val="24"/>
          <w:lang w:eastAsia="zh-CN"/>
        </w:rPr>
        <w:t xml:space="preserve"> / </w:t>
      </w:r>
      <w:r w:rsidRPr="00B1011A">
        <w:rPr>
          <w:rFonts w:ascii="楷体" w:eastAsia="楷体" w:hAnsi="楷体" w:hint="eastAsia"/>
          <w:sz w:val="24"/>
          <w:lang w:eastAsia="zh-CN"/>
        </w:rPr>
        <w:t>薛前强</w:t>
      </w:r>
    </w:p>
    <w:p w:rsidR="001D7AC3" w:rsidRDefault="001D7AC3" w:rsidP="00B1011A">
      <w:pPr>
        <w:rPr>
          <w:rFonts w:hint="eastAsia"/>
          <w:sz w:val="24"/>
          <w:lang w:eastAsia="zh-CN"/>
        </w:rPr>
      </w:pPr>
    </w:p>
    <w:p w:rsidR="00B1011A" w:rsidRPr="00B1011A" w:rsidRDefault="00B1011A" w:rsidP="00B1011A">
      <w:pPr>
        <w:rPr>
          <w:rFonts w:hint="eastAsia"/>
          <w:sz w:val="24"/>
          <w:lang w:eastAsia="zh-CN"/>
        </w:rPr>
      </w:pPr>
      <w:r w:rsidRPr="00B1011A">
        <w:rPr>
          <w:rFonts w:hint="eastAsia"/>
          <w:sz w:val="24"/>
          <w:lang w:eastAsia="zh-CN"/>
        </w:rPr>
        <w:t>马克思•韦伯对中国传统法律的误读</w:t>
      </w:r>
      <w:r w:rsidRPr="00B1011A">
        <w:rPr>
          <w:rFonts w:hint="eastAsia"/>
          <w:sz w:val="24"/>
          <w:lang w:eastAsia="zh-CN"/>
        </w:rPr>
        <w:t xml:space="preserve"> /</w:t>
      </w:r>
      <w:r w:rsidRPr="00B1011A">
        <w:rPr>
          <w:rFonts w:ascii="楷体" w:eastAsia="楷体" w:hAnsi="楷体" w:hint="eastAsia"/>
          <w:sz w:val="24"/>
          <w:lang w:eastAsia="zh-CN"/>
        </w:rPr>
        <w:t>罗伯特•马什（Robert M. Marsh）</w:t>
      </w:r>
    </w:p>
    <w:sectPr w:rsidR="00B1011A" w:rsidRPr="00B1011A" w:rsidSect="0030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85D" w:rsidRDefault="00DE185D" w:rsidP="00047BB0">
      <w:r>
        <w:separator/>
      </w:r>
    </w:p>
  </w:endnote>
  <w:endnote w:type="continuationSeparator" w:id="1">
    <w:p w:rsidR="00DE185D" w:rsidRDefault="00DE185D" w:rsidP="00047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85D" w:rsidRDefault="00DE185D" w:rsidP="00047BB0">
      <w:r>
        <w:separator/>
      </w:r>
    </w:p>
  </w:footnote>
  <w:footnote w:type="continuationSeparator" w:id="1">
    <w:p w:rsidR="00DE185D" w:rsidRDefault="00DE185D" w:rsidP="00047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CCD"/>
    <w:rsid w:val="00047BB0"/>
    <w:rsid w:val="000638A3"/>
    <w:rsid w:val="001D7AC3"/>
    <w:rsid w:val="00306410"/>
    <w:rsid w:val="00445AB9"/>
    <w:rsid w:val="005319CB"/>
    <w:rsid w:val="00534CCD"/>
    <w:rsid w:val="008E5642"/>
    <w:rsid w:val="00946E26"/>
    <w:rsid w:val="00A0271F"/>
    <w:rsid w:val="00A96CD1"/>
    <w:rsid w:val="00B1011A"/>
    <w:rsid w:val="00D363F2"/>
    <w:rsid w:val="00D513BE"/>
    <w:rsid w:val="00DE185D"/>
    <w:rsid w:val="00EF7905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B0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47BB0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047BB0"/>
    <w:pPr>
      <w:tabs>
        <w:tab w:val="right" w:leader="dot" w:pos="7021"/>
      </w:tabs>
      <w:jc w:val="center"/>
    </w:pPr>
    <w:rPr>
      <w:rFonts w:ascii="黑体" w:eastAsia="黑体" w:hAnsi="宋体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04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7BB0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5">
    <w:name w:val="footer"/>
    <w:basedOn w:val="a"/>
    <w:link w:val="Char0"/>
    <w:uiPriority w:val="99"/>
    <w:unhideWhenUsed/>
    <w:rsid w:val="0004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7BB0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B0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47BB0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047BB0"/>
    <w:pPr>
      <w:tabs>
        <w:tab w:val="right" w:leader="dot" w:pos="7021"/>
      </w:tabs>
      <w:jc w:val="center"/>
    </w:pPr>
    <w:rPr>
      <w:rFonts w:ascii="黑体" w:eastAsia="黑体" w:hAnsi="宋体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04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7BB0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5">
    <w:name w:val="footer"/>
    <w:basedOn w:val="a"/>
    <w:link w:val="Char0"/>
    <w:uiPriority w:val="99"/>
    <w:unhideWhenUsed/>
    <w:rsid w:val="0004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7BB0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jhq</dc:creator>
  <cp:keywords/>
  <dc:description/>
  <cp:lastModifiedBy>dell</cp:lastModifiedBy>
  <cp:revision>12</cp:revision>
  <dcterms:created xsi:type="dcterms:W3CDTF">2014-11-27T07:58:00Z</dcterms:created>
  <dcterms:modified xsi:type="dcterms:W3CDTF">2015-11-16T02:36:00Z</dcterms:modified>
</cp:coreProperties>
</file>